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91" w:rsidRDefault="00AF1591" w:rsidP="00850AFA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заседаниям</w:t>
      </w:r>
      <w:r w:rsidR="00760439" w:rsidRPr="0076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92">
        <w:rPr>
          <w:rFonts w:ascii="Times New Roman" w:hAnsi="Times New Roman" w:cs="Times New Roman"/>
          <w:b/>
          <w:sz w:val="28"/>
          <w:szCs w:val="28"/>
        </w:rPr>
        <w:t xml:space="preserve">экспертной секции </w:t>
      </w:r>
      <w:r w:rsidR="00D5404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2016 год</w:t>
      </w:r>
    </w:p>
    <w:p w:rsidR="00574E89" w:rsidRPr="00574E89" w:rsidRDefault="00574E89" w:rsidP="00850AFA">
      <w:pPr>
        <w:tabs>
          <w:tab w:val="left" w:pos="-4678"/>
        </w:tabs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4E89">
        <w:rPr>
          <w:rFonts w:ascii="Times New Roman" w:hAnsi="Times New Roman" w:cs="Times New Roman"/>
          <w:sz w:val="24"/>
          <w:szCs w:val="24"/>
        </w:rPr>
        <w:t xml:space="preserve">Необходимо решить проблему законодательного разделения регулирования отношений, связанных с горячим водоснабжением, осуществляемым с использованием закрытых систем горячего водоснабжения и открытых систем теплоснабжения (горячего водоснабжения), </w:t>
      </w:r>
      <w:r w:rsidRPr="00CF706E">
        <w:rPr>
          <w:rFonts w:ascii="Times New Roman" w:hAnsi="Times New Roman" w:cs="Times New Roman"/>
          <w:b/>
          <w:sz w:val="24"/>
          <w:szCs w:val="24"/>
        </w:rPr>
        <w:t>вернув в 190-ФЗ все определения, связанные с горячим водоснабжением, независимо от вида системы.</w:t>
      </w:r>
      <w:r w:rsidRPr="00574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4E89">
        <w:rPr>
          <w:rFonts w:ascii="Times New Roman" w:hAnsi="Times New Roman"/>
          <w:sz w:val="24"/>
          <w:szCs w:val="24"/>
        </w:rPr>
        <w:t>казанное разделение создало правовую и техническую неопределенность:</w:t>
      </w:r>
    </w:p>
    <w:p w:rsidR="00574E89" w:rsidRDefault="00574E89" w:rsidP="00850AFA">
      <w:pPr>
        <w:tabs>
          <w:tab w:val="left" w:pos="-4678"/>
        </w:tabs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74E89">
        <w:rPr>
          <w:rFonts w:ascii="Times New Roman" w:hAnsi="Times New Roman"/>
          <w:sz w:val="24"/>
          <w:szCs w:val="24"/>
        </w:rPr>
        <w:t>-   при реализации статуса ЕТО, т.к. в отношении горячего водоснабжения такой статус не предусмотрен</w:t>
      </w:r>
    </w:p>
    <w:p w:rsidR="00574E89" w:rsidRPr="00574E89" w:rsidRDefault="00574E89" w:rsidP="00850AFA">
      <w:pPr>
        <w:tabs>
          <w:tab w:val="left" w:pos="-4678"/>
        </w:tabs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74E89">
        <w:rPr>
          <w:rFonts w:ascii="Times New Roman" w:hAnsi="Times New Roman"/>
          <w:sz w:val="24"/>
          <w:szCs w:val="24"/>
        </w:rPr>
        <w:t>-     при обосновании, расчете и утверждении платы за подключение к системам теплоснабжения и горячего водоснабжения;</w:t>
      </w:r>
    </w:p>
    <w:p w:rsidR="00574E89" w:rsidRPr="00574E89" w:rsidRDefault="00574E89" w:rsidP="00850AFA">
      <w:pPr>
        <w:tabs>
          <w:tab w:val="left" w:pos="-4678"/>
        </w:tabs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74E89">
        <w:rPr>
          <w:rFonts w:ascii="Times New Roman" w:hAnsi="Times New Roman"/>
          <w:sz w:val="24"/>
          <w:szCs w:val="24"/>
        </w:rPr>
        <w:t xml:space="preserve">-  при разработке и утверждении инвестиционных программ </w:t>
      </w:r>
      <w:proofErr w:type="spellStart"/>
      <w:r w:rsidRPr="00574E89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574E89">
        <w:rPr>
          <w:rFonts w:ascii="Times New Roman" w:hAnsi="Times New Roman"/>
          <w:sz w:val="24"/>
          <w:szCs w:val="24"/>
        </w:rPr>
        <w:t xml:space="preserve"> организаций – инвестиционная программа теплоснабжающей организации, а также мероприятия по подключению не могут разделяться для целей отопле</w:t>
      </w:r>
      <w:bookmarkStart w:id="0" w:name="_GoBack"/>
      <w:bookmarkEnd w:id="0"/>
      <w:r w:rsidRPr="00574E89">
        <w:rPr>
          <w:rFonts w:ascii="Times New Roman" w:hAnsi="Times New Roman"/>
          <w:sz w:val="24"/>
          <w:szCs w:val="24"/>
        </w:rPr>
        <w:t>ния и ГВС. Источники, магистрали и ЦТП существуют</w:t>
      </w:r>
      <w:r>
        <w:rPr>
          <w:rFonts w:ascii="Times New Roman" w:hAnsi="Times New Roman"/>
          <w:sz w:val="24"/>
          <w:szCs w:val="24"/>
        </w:rPr>
        <w:t xml:space="preserve"> в едином технологическом цикле.</w:t>
      </w:r>
    </w:p>
    <w:p w:rsidR="00946881" w:rsidRPr="00574E89" w:rsidRDefault="00946881" w:rsidP="00850AFA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E89" w:rsidRPr="00AF1591" w:rsidRDefault="00946881" w:rsidP="00850AFA">
      <w:pPr>
        <w:pStyle w:val="a3"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91">
        <w:rPr>
          <w:rFonts w:ascii="Times New Roman" w:hAnsi="Times New Roman" w:cs="Times New Roman"/>
          <w:sz w:val="24"/>
          <w:szCs w:val="24"/>
        </w:rPr>
        <w:t>В</w:t>
      </w:r>
      <w:r w:rsidR="00574E89" w:rsidRPr="00AF1591">
        <w:rPr>
          <w:rFonts w:ascii="Times New Roman" w:hAnsi="Times New Roman" w:cs="Times New Roman"/>
          <w:sz w:val="24"/>
          <w:szCs w:val="24"/>
        </w:rPr>
        <w:t xml:space="preserve">нести изменения в постановление </w:t>
      </w:r>
      <w:r w:rsidR="00574E89" w:rsidRPr="00AF1591">
        <w:rPr>
          <w:rFonts w:ascii="Times New Roman" w:hAnsi="Times New Roman"/>
          <w:sz w:val="24"/>
          <w:szCs w:val="24"/>
        </w:rPr>
        <w:t xml:space="preserve">Правительства РФ от 06.05.2011 № 354 </w:t>
      </w:r>
      <w:r w:rsidRPr="00AF1591">
        <w:rPr>
          <w:rFonts w:ascii="Times New Roman" w:hAnsi="Times New Roman"/>
          <w:sz w:val="24"/>
          <w:szCs w:val="24"/>
        </w:rPr>
        <w:t>(Правила оказания коммунальных услуг)</w:t>
      </w:r>
      <w:r w:rsidR="00574E89" w:rsidRPr="00AF1591">
        <w:rPr>
          <w:rFonts w:ascii="Times New Roman" w:hAnsi="Times New Roman"/>
          <w:sz w:val="24"/>
          <w:szCs w:val="24"/>
        </w:rPr>
        <w:t xml:space="preserve"> в части </w:t>
      </w:r>
      <w:r w:rsidR="00574E89" w:rsidRPr="00AF1591">
        <w:rPr>
          <w:rFonts w:ascii="Times New Roman" w:hAnsi="Times New Roman"/>
          <w:b/>
          <w:sz w:val="24"/>
          <w:szCs w:val="24"/>
        </w:rPr>
        <w:t xml:space="preserve">применения </w:t>
      </w:r>
      <w:r w:rsidRPr="00AF1591">
        <w:rPr>
          <w:rFonts w:ascii="Times New Roman" w:hAnsi="Times New Roman"/>
          <w:b/>
          <w:sz w:val="24"/>
          <w:szCs w:val="24"/>
        </w:rPr>
        <w:t>показаний приборов учета тепловой энергии, израсходованной на подогрев,</w:t>
      </w:r>
      <w:r w:rsidRPr="00AF1591">
        <w:rPr>
          <w:rFonts w:ascii="Times New Roman" w:hAnsi="Times New Roman"/>
          <w:sz w:val="24"/>
          <w:szCs w:val="24"/>
        </w:rPr>
        <w:t xml:space="preserve"> </w:t>
      </w:r>
      <w:r w:rsidR="00574E89" w:rsidRPr="00AF1591">
        <w:rPr>
          <w:rFonts w:ascii="Times New Roman" w:hAnsi="Times New Roman"/>
          <w:sz w:val="24"/>
          <w:szCs w:val="24"/>
        </w:rPr>
        <w:t>в закрытых системах теплоснабжения. Сейчас такая возможность есть только в открытых системах и при приготовлении ГВС с использованием общедомового имущества.</w:t>
      </w:r>
      <w:r w:rsidRPr="00AF1591">
        <w:rPr>
          <w:rFonts w:ascii="Times New Roman" w:hAnsi="Times New Roman"/>
          <w:sz w:val="24"/>
          <w:szCs w:val="24"/>
        </w:rPr>
        <w:t xml:space="preserve"> Оплата услуги ГВС для закрытых систем предусмотрена только на основании норматива на подогрев, что не позволяет свести баланс тепловой энергии, делает бесполезным наличие прибора учета тепловой энергии, снижает </w:t>
      </w:r>
      <w:proofErr w:type="spellStart"/>
      <w:r w:rsidRPr="00AF1591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AF1591">
        <w:rPr>
          <w:rFonts w:ascii="Times New Roman" w:hAnsi="Times New Roman"/>
          <w:sz w:val="24"/>
          <w:szCs w:val="24"/>
        </w:rPr>
        <w:t>, так как не позволяет выявить проблемы во внутридомовых сетях.</w:t>
      </w:r>
    </w:p>
    <w:p w:rsidR="00C94802" w:rsidRPr="00C94802" w:rsidRDefault="00C94802" w:rsidP="00850AFA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DC" w:rsidRPr="001B31DC" w:rsidRDefault="001B31DC" w:rsidP="00850A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439" w:rsidRPr="00AF1591" w:rsidRDefault="00760439" w:rsidP="00850AFA">
      <w:pPr>
        <w:pStyle w:val="a3"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91">
        <w:rPr>
          <w:rFonts w:ascii="Times New Roman" w:hAnsi="Times New Roman" w:cs="Times New Roman"/>
          <w:sz w:val="24"/>
          <w:szCs w:val="24"/>
        </w:rPr>
        <w:t>Повышение платежной дисциплины.</w:t>
      </w:r>
    </w:p>
    <w:p w:rsidR="00A74E51" w:rsidRPr="00574E89" w:rsidRDefault="00A74E51" w:rsidP="00850AFA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изменения в нормативные акты, увеличивающие штрафы и пени за просрочку оплаты, подготовлены изменения в ЖК в части прямых договоров. Однако в отношении предоставления коммунальных услуг гражданам существуют еще ряд проблем, не позволяющих улучшить динамику дебиторской задолженности:</w:t>
      </w:r>
    </w:p>
    <w:p w:rsidR="00760439" w:rsidRDefault="00A74E51" w:rsidP="00850AFA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60439" w:rsidRPr="00574E89">
        <w:rPr>
          <w:rFonts w:ascii="Times New Roman" w:hAnsi="Times New Roman" w:cs="Times New Roman"/>
          <w:sz w:val="24"/>
          <w:szCs w:val="24"/>
        </w:rPr>
        <w:t>пределение источников погашения дебиторской задолженности при банкротстве/отзыве лицензии управляющей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E51" w:rsidRDefault="00A74E51" w:rsidP="00850AFA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гарантии оплаты всего объема ресурсов, поставленных на общедомовые нужды при превышении их расхода н</w:t>
      </w:r>
      <w:r w:rsidR="00FA0A47">
        <w:rPr>
          <w:rFonts w:ascii="Times New Roman" w:hAnsi="Times New Roman" w:cs="Times New Roman"/>
          <w:sz w:val="24"/>
          <w:szCs w:val="24"/>
        </w:rPr>
        <w:t>ад нормативным</w:t>
      </w:r>
      <w:r w:rsidR="0000643D">
        <w:rPr>
          <w:rFonts w:ascii="Times New Roman" w:hAnsi="Times New Roman" w:cs="Times New Roman"/>
          <w:sz w:val="24"/>
          <w:szCs w:val="24"/>
        </w:rPr>
        <w:t>;</w:t>
      </w:r>
    </w:p>
    <w:p w:rsidR="0000643D" w:rsidRDefault="0000643D" w:rsidP="00850AFA">
      <w:pPr>
        <w:pStyle w:val="ConsPlusNormal"/>
        <w:ind w:left="-567" w:firstLine="709"/>
        <w:jc w:val="both"/>
      </w:pPr>
      <w:r>
        <w:t xml:space="preserve">- наличие ограничений в законодательстве о персональных данных, значительно усложняющих переуступку в пользу </w:t>
      </w:r>
      <w:proofErr w:type="spellStart"/>
      <w:r>
        <w:t>ресурсоснабжающей</w:t>
      </w:r>
      <w:proofErr w:type="spellEnd"/>
      <w:r>
        <w:t xml:space="preserve"> организации прав требования к потребителям, имеющим задолженность по оплате коммунальных услуг.</w:t>
      </w:r>
    </w:p>
    <w:p w:rsidR="006D2CD5" w:rsidRDefault="004A4A8E" w:rsidP="0031352D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</w:t>
      </w:r>
      <w:proofErr w:type="gramStart"/>
      <w:r w:rsidRPr="0031352D">
        <w:rPr>
          <w:rFonts w:ascii="Times New Roman" w:hAnsi="Times New Roman" w:cs="Times New Roman"/>
          <w:sz w:val="24"/>
          <w:szCs w:val="24"/>
          <w:highlight w:val="yellow"/>
        </w:rPr>
        <w:t xml:space="preserve">- требуется  более тщательное рассмотрение  проекта </w:t>
      </w:r>
      <w:r w:rsidR="006D2CD5" w:rsidRPr="0031352D">
        <w:rPr>
          <w:rFonts w:ascii="Times New Roman" w:hAnsi="Times New Roman" w:cs="Times New Roman"/>
          <w:sz w:val="24"/>
          <w:szCs w:val="24"/>
          <w:highlight w:val="yellow"/>
        </w:rPr>
        <w:t xml:space="preserve"> Постановления </w:t>
      </w:r>
      <w:r w:rsidR="00763A7C" w:rsidRPr="0031352D">
        <w:rPr>
          <w:rFonts w:ascii="Times New Roman" w:hAnsi="Times New Roman" w:cs="Times New Roman"/>
          <w:sz w:val="24"/>
          <w:szCs w:val="24"/>
          <w:highlight w:val="yellow"/>
        </w:rPr>
        <w:t xml:space="preserve"> Правительства РФ  </w:t>
      </w:r>
      <w:r w:rsidR="00763A7C" w:rsidRPr="0031352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«О внесении изменений в некоторые акты Правительства Российской Федерации по вопросам обеспечения исполнения обязательств по оплате энергоресурсов»</w:t>
      </w:r>
      <w:r w:rsidR="006D2CD5" w:rsidRPr="0031352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4338E" w:rsidRPr="0031352D">
        <w:rPr>
          <w:rFonts w:ascii="Times New Roman" w:hAnsi="Times New Roman" w:cs="Times New Roman"/>
          <w:sz w:val="24"/>
          <w:szCs w:val="24"/>
          <w:highlight w:val="yellow"/>
        </w:rPr>
        <w:t>(подзаконный ак</w:t>
      </w:r>
      <w:r w:rsidR="003E6984" w:rsidRPr="0031352D">
        <w:rPr>
          <w:rFonts w:ascii="Times New Roman" w:hAnsi="Times New Roman" w:cs="Times New Roman"/>
          <w:sz w:val="24"/>
          <w:szCs w:val="24"/>
          <w:highlight w:val="yellow"/>
        </w:rPr>
        <w:t xml:space="preserve">т   в связи с принятием </w:t>
      </w:r>
      <w:r w:rsidR="006D2CD5" w:rsidRPr="003135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2CD5" w:rsidRPr="0031352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Федерального закона о от 03.11.2015 № 307-ФЗ</w:t>
      </w:r>
      <w:r w:rsidR="003E6984" w:rsidRPr="0031352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а именно:</w:t>
      </w:r>
      <w:proofErr w:type="gramEnd"/>
    </w:p>
    <w:p w:rsidR="00850AFA" w:rsidRPr="00850AFA" w:rsidRDefault="00850AFA" w:rsidP="00850AFA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0AFA">
        <w:rPr>
          <w:rFonts w:ascii="Times New Roman" w:hAnsi="Times New Roman" w:cs="Times New Roman"/>
          <w:sz w:val="24"/>
        </w:rPr>
        <w:t xml:space="preserve"> </w:t>
      </w:r>
      <w:r w:rsidRPr="00850AFA">
        <w:rPr>
          <w:rFonts w:ascii="Times New Roman" w:hAnsi="Times New Roman" w:cs="Times New Roman"/>
          <w:sz w:val="24"/>
          <w:highlight w:val="yellow"/>
        </w:rPr>
        <w:t>1.</w:t>
      </w:r>
      <w:r w:rsidR="00204F66" w:rsidRPr="00850AFA">
        <w:rPr>
          <w:rFonts w:ascii="Times New Roman" w:hAnsi="Times New Roman" w:cs="Times New Roman"/>
          <w:sz w:val="24"/>
          <w:highlight w:val="yellow"/>
        </w:rPr>
        <w:t>В части  механизма обеспечения исполнения обязательств по оплате тепловой энергии (и газа)</w:t>
      </w:r>
      <w:r w:rsidRPr="00850AFA">
        <w:rPr>
          <w:rFonts w:ascii="Times New Roman" w:hAnsi="Times New Roman" w:cs="Times New Roman"/>
          <w:sz w:val="24"/>
          <w:highlight w:val="yellow"/>
        </w:rPr>
        <w:t xml:space="preserve">, в том числе критерии, </w:t>
      </w:r>
      <w:r w:rsidR="00204F66" w:rsidRPr="00850AFA">
        <w:rPr>
          <w:rFonts w:ascii="Times New Roman" w:hAnsi="Times New Roman" w:cs="Times New Roman"/>
          <w:sz w:val="24"/>
          <w:highlight w:val="yellow"/>
        </w:rPr>
        <w:t>при соответствии которым у потребителей тепловой энергии, газа и  теплоснабжающих организаций возникает обязанность предоставления обеспечения исполнения обязательств</w:t>
      </w:r>
      <w:r w:rsidRPr="00850AFA">
        <w:rPr>
          <w:rFonts w:ascii="Times New Roman" w:hAnsi="Times New Roman" w:cs="Times New Roman"/>
          <w:sz w:val="24"/>
          <w:highlight w:val="yellow"/>
        </w:rPr>
        <w:t>.</w:t>
      </w:r>
    </w:p>
    <w:p w:rsidR="00850AFA" w:rsidRPr="00850AFA" w:rsidRDefault="00850AFA" w:rsidP="00850AFA">
      <w:pPr>
        <w:pStyle w:val="a3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highlight w:val="yellow"/>
        </w:rPr>
      </w:pPr>
      <w:proofErr w:type="gramStart"/>
      <w:r w:rsidRPr="00850AFA">
        <w:rPr>
          <w:rFonts w:ascii="Times New Roman" w:hAnsi="Times New Roman" w:cs="Times New Roman"/>
          <w:sz w:val="24"/>
          <w:highlight w:val="yellow"/>
        </w:rPr>
        <w:t xml:space="preserve">В части обеспечения обязательств по оплате   газа теплоснабжающими организациями, а именно   об исключении  обязательства о предоставлении обеспечения исполнения обязательств по оплате газа для теплоснабжающих организаций, осуществляющих поставку тепловой энергии муниципальным (государственным) учреждениям, казенным предприятиям, ТСЖ, жилищно-строительным, жилищным и иным специализированным </w:t>
      </w:r>
      <w:r w:rsidRPr="00850AFA">
        <w:rPr>
          <w:rFonts w:ascii="Times New Roman" w:hAnsi="Times New Roman" w:cs="Times New Roman"/>
          <w:sz w:val="24"/>
          <w:highlight w:val="yellow"/>
        </w:rPr>
        <w:lastRenderedPageBreak/>
        <w:t>потребительским кооперативам, управляющим организациям, собственникам и пользователям жилых домов и помещений в многоквартирных домах, если доля поставки тепловой энергии таким</w:t>
      </w:r>
      <w:proofErr w:type="gramEnd"/>
      <w:r w:rsidRPr="00850AFA">
        <w:rPr>
          <w:rFonts w:ascii="Times New Roman" w:hAnsi="Times New Roman" w:cs="Times New Roman"/>
          <w:sz w:val="24"/>
          <w:highlight w:val="yellow"/>
        </w:rPr>
        <w:t xml:space="preserve"> потребителям  в общем объеме поставляемых теплоснабжающими организациями товаров и услуг в сфере теплоснабжения составляет более 50 процентов.</w:t>
      </w:r>
    </w:p>
    <w:p w:rsidR="003E6984" w:rsidRPr="00850AFA" w:rsidRDefault="003E6984" w:rsidP="00850AFA">
      <w:pPr>
        <w:pStyle w:val="ConsPlusNormal"/>
        <w:ind w:left="-567" w:firstLine="709"/>
        <w:jc w:val="both"/>
        <w:rPr>
          <w:color w:val="000000"/>
        </w:rPr>
      </w:pPr>
    </w:p>
    <w:p w:rsidR="003E6984" w:rsidRPr="00EE1D06" w:rsidRDefault="00204F66" w:rsidP="00850AFA">
      <w:pPr>
        <w:pStyle w:val="ConsPlusNormal"/>
        <w:ind w:left="-567" w:firstLine="709"/>
        <w:jc w:val="both"/>
        <w:rPr>
          <w:color w:val="000000"/>
          <w:highlight w:val="yellow"/>
        </w:rPr>
      </w:pPr>
      <w:r>
        <w:rPr>
          <w:color w:val="000000"/>
        </w:rPr>
        <w:t xml:space="preserve">      </w:t>
      </w:r>
      <w:r w:rsidR="003E6984" w:rsidRPr="00EE1D06">
        <w:rPr>
          <w:color w:val="000000"/>
          <w:highlight w:val="yellow"/>
        </w:rPr>
        <w:t>Кр</w:t>
      </w:r>
      <w:r w:rsidR="00117402" w:rsidRPr="00EE1D06">
        <w:rPr>
          <w:color w:val="000000"/>
          <w:highlight w:val="yellow"/>
        </w:rPr>
        <w:t>оме того, предлагаю выступить со следующими  инициативами</w:t>
      </w:r>
      <w:r w:rsidR="003E6984" w:rsidRPr="00EE1D06">
        <w:rPr>
          <w:color w:val="000000"/>
          <w:highlight w:val="yellow"/>
        </w:rPr>
        <w:t>:</w:t>
      </w:r>
    </w:p>
    <w:p w:rsidR="00117402" w:rsidRPr="00EE1D06" w:rsidRDefault="00117402" w:rsidP="00850AFA">
      <w:pPr>
        <w:pStyle w:val="ConsPlusNormal"/>
        <w:ind w:left="-567" w:firstLine="709"/>
        <w:jc w:val="both"/>
        <w:rPr>
          <w:color w:val="000000"/>
          <w:highlight w:val="yellow"/>
        </w:rPr>
      </w:pPr>
    </w:p>
    <w:p w:rsidR="00117402" w:rsidRPr="00EE1D06" w:rsidRDefault="00204F66" w:rsidP="00850AFA">
      <w:pPr>
        <w:pStyle w:val="ConsPlusNormal"/>
        <w:numPr>
          <w:ilvl w:val="0"/>
          <w:numId w:val="8"/>
        </w:numPr>
        <w:ind w:left="-567" w:firstLine="709"/>
        <w:jc w:val="both"/>
        <w:rPr>
          <w:highlight w:val="yellow"/>
        </w:rPr>
      </w:pPr>
      <w:r w:rsidRPr="00EE1D06">
        <w:rPr>
          <w:highlight w:val="yellow"/>
        </w:rPr>
        <w:t xml:space="preserve">0 </w:t>
      </w:r>
      <w:r w:rsidR="00117402" w:rsidRPr="00EE1D06">
        <w:rPr>
          <w:highlight w:val="yellow"/>
        </w:rPr>
        <w:t xml:space="preserve">закреплении на законодательном уровне   механизма, дающего  развитие нормам, ранее установленным частью 6 статьи 20 Федерального закона от 27.07.2010 № 190-ФЗ «О теплоснабжении»,  регулирующего порядок действий теплоснабжающих организаций перед началом нового отопительного периода при  наличии  дебиторской задолженности у потребителя  за отпущенные тепловую энергию и теплоноситель за предыдущий отопительный сезон   (по </w:t>
      </w:r>
      <w:proofErr w:type="gramStart"/>
      <w:r w:rsidR="00117402" w:rsidRPr="00EE1D06">
        <w:rPr>
          <w:highlight w:val="yellow"/>
        </w:rPr>
        <w:t>сути</w:t>
      </w:r>
      <w:proofErr w:type="gramEnd"/>
      <w:r w:rsidR="00117402" w:rsidRPr="00EE1D06">
        <w:rPr>
          <w:highlight w:val="yellow"/>
        </w:rPr>
        <w:t xml:space="preserve"> легализация  разрешительного порядка отпуска тепловой энергии, используемого как обычай делового оборота) </w:t>
      </w:r>
      <w:r w:rsidRPr="00EE1D06">
        <w:rPr>
          <w:highlight w:val="yellow"/>
        </w:rPr>
        <w:t xml:space="preserve"> путем дополнения  вышеуказанной  статьи</w:t>
      </w:r>
      <w:r w:rsidR="00117402" w:rsidRPr="00EE1D06">
        <w:rPr>
          <w:highlight w:val="yellow"/>
        </w:rPr>
        <w:t xml:space="preserve"> данного ФЗ и  </w:t>
      </w:r>
      <w:r w:rsidRPr="00EE1D06">
        <w:rPr>
          <w:highlight w:val="yellow"/>
        </w:rPr>
        <w:t xml:space="preserve"> пункта 16 подпункта 17 Приказа Минэнерго России от 12 марта 2013 г. № 103 «Об утверждении Правил оценки готовности  </w:t>
      </w:r>
      <w:proofErr w:type="gramStart"/>
      <w:r w:rsidRPr="00EE1D06">
        <w:rPr>
          <w:highlight w:val="yellow"/>
        </w:rPr>
        <w:t>к</w:t>
      </w:r>
      <w:proofErr w:type="gramEnd"/>
      <w:r w:rsidRPr="00EE1D06">
        <w:rPr>
          <w:highlight w:val="yellow"/>
        </w:rPr>
        <w:t xml:space="preserve"> отопительному  следующим предложением: </w:t>
      </w:r>
      <w:r w:rsidR="00117402" w:rsidRPr="00EE1D06">
        <w:rPr>
          <w:b/>
          <w:highlight w:val="yellow"/>
        </w:rPr>
        <w:t>«</w:t>
      </w:r>
      <w:r w:rsidR="00117402" w:rsidRPr="00EE1D06">
        <w:rPr>
          <w:highlight w:val="yellow"/>
        </w:rPr>
        <w:t>В случае наличия дебиторской задолженности у потребителя за предыдущие отопительные периоды, теплоснабжающая  организация вправе не осуществлять поставку тепловой энергии в новом отопительном периоде до полного погашения задолженности либо до представления обеспечения обязательств потреб</w:t>
      </w:r>
      <w:r w:rsidRPr="00EE1D06">
        <w:rPr>
          <w:highlight w:val="yellow"/>
        </w:rPr>
        <w:t>ителем по оплате задолженности»;</w:t>
      </w:r>
    </w:p>
    <w:p w:rsidR="003E6984" w:rsidRPr="00EE1D06" w:rsidRDefault="00204F66" w:rsidP="00850AFA">
      <w:pPr>
        <w:pStyle w:val="ConsPlusNormal"/>
        <w:ind w:left="-567" w:firstLine="709"/>
        <w:jc w:val="both"/>
        <w:rPr>
          <w:highlight w:val="yellow"/>
        </w:rPr>
      </w:pPr>
      <w:r w:rsidRPr="00EE1D06">
        <w:rPr>
          <w:highlight w:val="yellow"/>
        </w:rPr>
        <w:t xml:space="preserve"> 2.</w:t>
      </w:r>
      <w:r w:rsidR="003E6984" w:rsidRPr="00EE1D06">
        <w:rPr>
          <w:bCs/>
          <w:highlight w:val="yellow"/>
        </w:rPr>
        <w:t xml:space="preserve"> Об отмене    некоторых законодательных актов, вступающих в противоречие  со специальным  порядком ведения ограничения режима потребления социально значимых категорий потребителей,  установленных Правилами организации теплоснабжения, утвержденными Постановлением Правительства РФ от 08.08.2012 года № 808:</w:t>
      </w:r>
    </w:p>
    <w:p w:rsidR="003E6984" w:rsidRPr="00EE1D06" w:rsidRDefault="003E6984" w:rsidP="00850AFA">
      <w:pPr>
        <w:pStyle w:val="ConsPlusNormal"/>
        <w:ind w:left="-567" w:firstLine="709"/>
        <w:jc w:val="both"/>
        <w:rPr>
          <w:bCs/>
          <w:highlight w:val="yellow"/>
        </w:rPr>
      </w:pPr>
      <w:r w:rsidRPr="00EE1D06">
        <w:rPr>
          <w:highlight w:val="yellow"/>
        </w:rPr>
        <w:t xml:space="preserve">- </w:t>
      </w:r>
      <w:r w:rsidRPr="00EE1D06">
        <w:rPr>
          <w:bCs/>
          <w:highlight w:val="yellow"/>
        </w:rPr>
        <w:t>Указ Президента РФ от 23 ноября 1995 г. N 1173 « О мерах по осуществлению устойчивого функционирования объектов, обеспечивающих безопасность государства;</w:t>
      </w:r>
    </w:p>
    <w:p w:rsidR="003E6984" w:rsidRDefault="003E6984" w:rsidP="00850AFA">
      <w:pPr>
        <w:pStyle w:val="ConsPlusNormal"/>
        <w:ind w:left="-567" w:firstLine="709"/>
        <w:jc w:val="both"/>
        <w:rPr>
          <w:rFonts w:eastAsia="Calibri"/>
          <w:bCs/>
          <w:lang w:eastAsia="ru-RU"/>
        </w:rPr>
      </w:pPr>
      <w:r w:rsidRPr="00EE1D06">
        <w:rPr>
          <w:bCs/>
          <w:highlight w:val="yellow"/>
        </w:rPr>
        <w:t xml:space="preserve"> -</w:t>
      </w:r>
      <w:r w:rsidRPr="00EE1D06">
        <w:rPr>
          <w:rFonts w:eastAsia="Calibri"/>
          <w:bCs/>
          <w:highlight w:val="yellow"/>
          <w:lang w:eastAsia="ru-RU"/>
        </w:rPr>
        <w:t xml:space="preserve"> Постановление Правительства РФ от 29 мая 2002г. N 364 « Об обеспечении устойчивого </w:t>
      </w:r>
      <w:proofErr w:type="spellStart"/>
      <w:r w:rsidRPr="00EE1D06">
        <w:rPr>
          <w:rFonts w:eastAsia="Calibri"/>
          <w:bCs/>
          <w:highlight w:val="yellow"/>
          <w:lang w:eastAsia="ru-RU"/>
        </w:rPr>
        <w:t>газо</w:t>
      </w:r>
      <w:proofErr w:type="spellEnd"/>
      <w:r w:rsidRPr="00EE1D06">
        <w:rPr>
          <w:rFonts w:eastAsia="Calibri"/>
          <w:bCs/>
          <w:highlight w:val="yellow"/>
          <w:lang w:eastAsia="ru-RU"/>
        </w:rPr>
        <w:t>- и энергоснабжения</w:t>
      </w:r>
      <w:r w:rsidR="00204F66" w:rsidRPr="00EE1D06">
        <w:rPr>
          <w:rFonts w:eastAsia="Calibri"/>
          <w:bCs/>
          <w:highlight w:val="yellow"/>
          <w:lang w:eastAsia="ru-RU"/>
        </w:rPr>
        <w:t xml:space="preserve">, </w:t>
      </w:r>
      <w:r w:rsidRPr="00EE1D06">
        <w:rPr>
          <w:rFonts w:eastAsia="Calibri"/>
          <w:bCs/>
          <w:highlight w:val="yellow"/>
          <w:lang w:eastAsia="ru-RU"/>
        </w:rPr>
        <w:t xml:space="preserve">  финансируемых за счет средств федерального бюджета организаций, обеспечивающих безопасность  государства».</w:t>
      </w:r>
    </w:p>
    <w:p w:rsidR="003E6984" w:rsidRDefault="003E6984" w:rsidP="00850AFA">
      <w:pPr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4338E" w:rsidRPr="0024338E" w:rsidRDefault="0024338E" w:rsidP="006D2C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2CD5" w:rsidRDefault="006D2CD5" w:rsidP="006D2CD5"/>
    <w:p w:rsidR="006D2CD5" w:rsidRDefault="006D2CD5" w:rsidP="006D2CD5"/>
    <w:p w:rsidR="006D2CD5" w:rsidRDefault="006D2CD5" w:rsidP="006D2CD5"/>
    <w:p w:rsidR="006D2CD5" w:rsidRDefault="006D2CD5" w:rsidP="006D2CD5"/>
    <w:p w:rsidR="006D2CD5" w:rsidRDefault="006D2CD5" w:rsidP="006D2CD5"/>
    <w:sectPr w:rsidR="006D2CD5" w:rsidSect="00C94802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949"/>
    <w:multiLevelType w:val="multilevel"/>
    <w:tmpl w:val="84B8F104"/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  <w:b/>
      </w:rPr>
    </w:lvl>
  </w:abstractNum>
  <w:abstractNum w:abstractNumId="1">
    <w:nsid w:val="0B270E36"/>
    <w:multiLevelType w:val="hybridMultilevel"/>
    <w:tmpl w:val="884A18EA"/>
    <w:lvl w:ilvl="0" w:tplc="FFA6087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60FA5"/>
    <w:multiLevelType w:val="hybridMultilevel"/>
    <w:tmpl w:val="6A98A10C"/>
    <w:lvl w:ilvl="0" w:tplc="09E01B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4175C"/>
    <w:multiLevelType w:val="hybridMultilevel"/>
    <w:tmpl w:val="99DA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63E4"/>
    <w:multiLevelType w:val="hybridMultilevel"/>
    <w:tmpl w:val="EC003E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056A"/>
    <w:multiLevelType w:val="hybridMultilevel"/>
    <w:tmpl w:val="DDF0DFAA"/>
    <w:lvl w:ilvl="0" w:tplc="5F549E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82461E8"/>
    <w:multiLevelType w:val="hybridMultilevel"/>
    <w:tmpl w:val="CEE4BC10"/>
    <w:lvl w:ilvl="0" w:tplc="5C1AB1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E1F307D"/>
    <w:multiLevelType w:val="hybridMultilevel"/>
    <w:tmpl w:val="12186ACE"/>
    <w:lvl w:ilvl="0" w:tplc="B57039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813292"/>
    <w:multiLevelType w:val="hybridMultilevel"/>
    <w:tmpl w:val="834ED3F2"/>
    <w:lvl w:ilvl="0" w:tplc="8384FFE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5461602E"/>
    <w:multiLevelType w:val="multilevel"/>
    <w:tmpl w:val="709C89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39"/>
    <w:rsid w:val="0000643D"/>
    <w:rsid w:val="00064A90"/>
    <w:rsid w:val="00117402"/>
    <w:rsid w:val="001B31DC"/>
    <w:rsid w:val="00204F66"/>
    <w:rsid w:val="0024338E"/>
    <w:rsid w:val="0031352D"/>
    <w:rsid w:val="003E6984"/>
    <w:rsid w:val="00447D86"/>
    <w:rsid w:val="004A4A8E"/>
    <w:rsid w:val="00574E89"/>
    <w:rsid w:val="005E33BF"/>
    <w:rsid w:val="006040B1"/>
    <w:rsid w:val="006D2CD5"/>
    <w:rsid w:val="00731826"/>
    <w:rsid w:val="00760439"/>
    <w:rsid w:val="00763A7C"/>
    <w:rsid w:val="00782F7C"/>
    <w:rsid w:val="00850AFA"/>
    <w:rsid w:val="00946881"/>
    <w:rsid w:val="0097017F"/>
    <w:rsid w:val="009920D8"/>
    <w:rsid w:val="00A74E51"/>
    <w:rsid w:val="00AF1591"/>
    <w:rsid w:val="00BE6492"/>
    <w:rsid w:val="00C94802"/>
    <w:rsid w:val="00CD0001"/>
    <w:rsid w:val="00CF706E"/>
    <w:rsid w:val="00D54045"/>
    <w:rsid w:val="00D67923"/>
    <w:rsid w:val="00DD0124"/>
    <w:rsid w:val="00EE1D06"/>
    <w:rsid w:val="00F27B8C"/>
    <w:rsid w:val="00FA0A47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39"/>
    <w:pPr>
      <w:ind w:left="720"/>
      <w:contextualSpacing/>
    </w:pPr>
  </w:style>
  <w:style w:type="paragraph" w:customStyle="1" w:styleId="ConsPlusNormal">
    <w:name w:val="ConsPlusNormal"/>
    <w:rsid w:val="00006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BA9B-7385-434C-86CF-510C2EC4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 Светлана Владимировна</dc:creator>
  <cp:lastModifiedBy>Andreeva</cp:lastModifiedBy>
  <cp:revision>6</cp:revision>
  <cp:lastPrinted>2016-04-18T11:19:00Z</cp:lastPrinted>
  <dcterms:created xsi:type="dcterms:W3CDTF">2016-04-18T08:43:00Z</dcterms:created>
  <dcterms:modified xsi:type="dcterms:W3CDTF">2016-04-18T12:33:00Z</dcterms:modified>
</cp:coreProperties>
</file>